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66CC">
      <w:pPr>
        <w:pStyle w:val="5"/>
        <w:ind w:firstLine="0" w:firstLineChars="0"/>
      </w:pPr>
      <w:r>
        <w:rPr>
          <w:rFonts w:hint="eastAsia"/>
        </w:rPr>
        <w:t>附件</w:t>
      </w:r>
      <w:r>
        <w:t>2</w:t>
      </w:r>
    </w:p>
    <w:p w14:paraId="777B56A9">
      <w:pPr>
        <w:pStyle w:val="4"/>
        <w:spacing w:before="156" w:beforeLines="50" w:line="8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</w:rPr>
        <w:t>年度“湖南广播电视奖”参评节目</w:t>
      </w:r>
    </w:p>
    <w:p w14:paraId="24F180F1">
      <w:pPr>
        <w:pStyle w:val="4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推荐表</w:t>
      </w:r>
    </w:p>
    <w:tbl>
      <w:tblPr>
        <w:tblStyle w:val="8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93"/>
        <w:gridCol w:w="1486"/>
        <w:gridCol w:w="1555"/>
        <w:gridCol w:w="1524"/>
        <w:gridCol w:w="1393"/>
      </w:tblGrid>
      <w:tr w14:paraId="1068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8EB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创作单位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32F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8E6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推荐单位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FC4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548E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533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408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ACF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参评项目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EFB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017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</w:t>
            </w: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eastAsia="zh-CN" w:bidi="ar"/>
              </w:rPr>
              <w:t>时长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EAA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369A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050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播出栏目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860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549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播出时间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122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6D69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B7E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作品标题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27D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50E8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82B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主创人员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791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3C1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7AD834">
            <w:pPr>
              <w:spacing w:line="240" w:lineRule="auto"/>
              <w:ind w:left="113" w:right="113" w:firstLine="0" w:firstLineChars="0"/>
              <w:jc w:val="center"/>
              <w:rPr>
                <w:rFonts w:hint="eastAsia" w:ascii="仿宋_GB2312" w:hAnsi="仿宋" w:cs="仿宋_GB2312"/>
                <w:color w:val="000000"/>
                <w:spacing w:val="84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DE0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  <w:tr w14:paraId="4F3A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7FE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评</w:t>
            </w:r>
          </w:p>
          <w:p w14:paraId="12AAFE9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委</w:t>
            </w:r>
          </w:p>
          <w:p w14:paraId="6E5CF95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意</w:t>
            </w:r>
          </w:p>
          <w:p w14:paraId="4F745D9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见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073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76D8F79A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4545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F5546"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F5546">
                    <w:pPr>
                      <w:pStyle w:val="6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A6F3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B2465"/>
    <w:rsid w:val="25101CDA"/>
    <w:rsid w:val="2EE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utoSpaceDE/>
      <w:autoSpaceDN/>
      <w:adjustRightInd w:val="0"/>
      <w:snapToGrid w:val="0"/>
      <w:spacing w:before="0" w:beforeLines="0" w:line="240" w:lineRule="auto"/>
      <w:ind w:left="0" w:firstLine="0" w:firstLineChars="0"/>
      <w:jc w:val="center"/>
      <w:outlineLvl w:val="0"/>
    </w:pPr>
    <w:rPr>
      <w:rFonts w:eastAsia="方正小标宋_GBK" w:cs="Times New Roman"/>
      <w:sz w:val="44"/>
      <w:szCs w:val="32"/>
      <w:lang w:eastAsia="en-US"/>
    </w:rPr>
  </w:style>
  <w:style w:type="paragraph" w:styleId="5">
    <w:name w:val="heading 2"/>
    <w:basedOn w:val="1"/>
    <w:next w:val="1"/>
    <w:qFormat/>
    <w:uiPriority w:val="9"/>
    <w:pPr>
      <w:keepNext/>
      <w:keepLines/>
      <w:widowControl w:val="0"/>
      <w:spacing w:after="0" w:afterLines="0" w:line="600" w:lineRule="exact"/>
      <w:ind w:firstLine="1680" w:firstLineChars="200"/>
      <w:jc w:val="both"/>
      <w:outlineLvl w:val="1"/>
    </w:pPr>
    <w:rPr>
      <w:rFonts w:eastAsia="黑体" w:cs="Times New Roman"/>
      <w:bCs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585" w:firstLineChars="195"/>
      <w:jc w:val="both"/>
    </w:pPr>
    <w:rPr>
      <w:rFonts w:hint="default" w:ascii="Times New Roman" w:hAnsi="Times New Roman" w:eastAsia="宋体" w:cs="Times New Roman"/>
      <w:kern w:val="2"/>
      <w:sz w:val="30"/>
      <w:szCs w:val="24"/>
      <w:lang w:val="en-US" w:eastAsia="zh-CN" w:bidi="ar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2026-02-06T11:22:00Z</dcterms:created>
  <dc:creator>海贝贝</dc:creator>
  <cp:lastModifiedBy>海贝贝</cp:lastModifiedBy>
  <dcterms:modified xsi:type="dcterms:W3CDTF">2026-02-06T11:26:47Z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C7A0995337914C979DCE85A922306AD6_11</vt:lpwstr>
  </property>
  <property fmtid="{D5CDD505-2E9C-101B-9397-08002B2CF9AE}" pid="4" name="KSOTemplateDocerSaveRecord">
    <vt:lpwstr>eyJoZGlkIjoiYmM5NDY3YWUwNDhlZTI2OGMyZDZjY2VjYzAzYzllOGYiLCJ1c2VySWQiOiIyNDIzOTk1ODcifQ==</vt:lpwstr>
  </property>
</Properties>
</file>